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
        <w:jc w:val="center"/>
      </w:pPr>
      <w:r>
        <w:rPr>
          <w:rFonts w:ascii="Calibri" w:cs="Calibri" w:eastAsia="Calibri" w:hAnsi="Calibri"/>
          <w:b/>
          <w:bCs/>
          <w:color w:val="1A1A1A"/>
          <w:spacing w:val="14"/>
          <w:sz w:val="20"/>
          <w:szCs w:val="20"/>
        </w:rPr>
        <w:t xml:space="preserve">FAYETTEVILLE FIRE DEPARTMENT</w:t>
      </w:r>
    </w:p>
    <w:p>
      <w:pPr>
        <w:spacing w:after="4"/>
        <w:jc w:val="center"/>
      </w:pPr>
      <w:r>
        <w:rPr>
          <w:rFonts w:ascii="Calibri" w:cs="Calibri" w:eastAsia="Calibri" w:hAnsi="Calibri"/>
          <w:color w:val="777777"/>
          <w:spacing w:val="20"/>
          <w:sz w:val="18"/>
          <w:szCs w:val="18"/>
        </w:rPr>
        <w:t xml:space="preserve">FACILITATOR GUIDE</w:t>
      </w:r>
    </w:p>
    <w:p>
      <w:pPr>
        <w:spacing w:after="240"/>
        <w:jc w:val="center"/>
      </w:pPr>
      <w:r>
        <w:rPr>
          <w:rFonts w:ascii="Calibri" w:cs="Calibri" w:eastAsia="Calibri" w:hAnsi="Calibri"/>
          <w:b/>
          <w:bCs/>
          <w:color w:val="1A1A1A"/>
          <w:sz w:val="22"/>
          <w:szCs w:val="22"/>
        </w:rPr>
        <w:t xml:space="preserve">[PROGRAM NAME] — Quarterly Peer Gathering</w:t>
      </w:r>
    </w:p>
    <w:p>
      <w:pPr>
        <w:pBdr>
          <w:bottom w:val="single" w:color="AAAAAA" w:sz="4"/>
        </w:pBdr>
        <w:spacing w:after="100" w:before="100"/>
      </w:pPr>
      <w:r>
        <w:t xml:space="preserve"/>
      </w:r>
    </w:p>
    <w:p>
      <w:pPr>
        <w:spacing w:after="30" w:before="30"/>
      </w:pPr>
      <w:r>
        <w:rPr>
          <w:rFonts w:ascii="Calibri" w:cs="Calibri" w:eastAsia="Calibri" w:hAnsi="Calibri"/>
          <w:b/>
          <w:bCs/>
          <w:color w:val="1A1A1A"/>
          <w:sz w:val="21"/>
          <w:szCs w:val="21"/>
        </w:rPr>
        <w:t xml:space="preserve">Format:  </w:t>
      </w:r>
      <w:r>
        <w:rPr>
          <w:rFonts w:ascii="Calibri" w:cs="Calibri" w:eastAsia="Calibri" w:hAnsi="Calibri"/>
          <w:color w:val="3A3A3A"/>
          <w:sz w:val="21"/>
          <w:szCs w:val="21"/>
        </w:rPr>
        <w:t xml:space="preserve">Voluntary, off-site, rank-specific</w:t>
      </w:r>
    </w:p>
    <w:p>
      <w:pPr>
        <w:spacing w:after="30" w:before="30"/>
      </w:pPr>
      <w:r>
        <w:rPr>
          <w:rFonts w:ascii="Calibri" w:cs="Calibri" w:eastAsia="Calibri" w:hAnsi="Calibri"/>
          <w:b/>
          <w:bCs/>
          <w:color w:val="1A1A1A"/>
          <w:sz w:val="21"/>
          <w:szCs w:val="21"/>
        </w:rPr>
        <w:t xml:space="preserve">Length:  </w:t>
      </w:r>
      <w:r>
        <w:rPr>
          <w:rFonts w:ascii="Calibri" w:cs="Calibri" w:eastAsia="Calibri" w:hAnsi="Calibri"/>
          <w:color w:val="3A3A3A"/>
          <w:sz w:val="21"/>
          <w:szCs w:val="21"/>
        </w:rPr>
        <w:t xml:space="preserve">90 minutes to 2 hours</w:t>
      </w:r>
    </w:p>
    <w:p>
      <w:pPr>
        <w:spacing w:after="30" w:before="30"/>
      </w:pPr>
      <w:r>
        <w:rPr>
          <w:rFonts w:ascii="Calibri" w:cs="Calibri" w:eastAsia="Calibri" w:hAnsi="Calibri"/>
          <w:b/>
          <w:bCs/>
          <w:color w:val="1A1A1A"/>
          <w:sz w:val="21"/>
          <w:szCs w:val="21"/>
        </w:rPr>
        <w:t xml:space="preserve">Frequency:  </w:t>
      </w:r>
      <w:r>
        <w:rPr>
          <w:rFonts w:ascii="Calibri" w:cs="Calibri" w:eastAsia="Calibri" w:hAnsi="Calibri"/>
          <w:color w:val="3A3A3A"/>
          <w:sz w:val="21"/>
          <w:szCs w:val="21"/>
        </w:rPr>
        <w:t xml:space="preserve">Quarterly</w:t>
      </w:r>
    </w:p>
    <w:p>
      <w:pPr>
        <w:spacing w:after="30" w:before="30"/>
      </w:pPr>
      <w:r>
        <w:rPr>
          <w:rFonts w:ascii="Calibri" w:cs="Calibri" w:eastAsia="Calibri" w:hAnsi="Calibri"/>
          <w:b/>
          <w:bCs/>
          <w:color w:val="1A1A1A"/>
          <w:sz w:val="21"/>
          <w:szCs w:val="21"/>
        </w:rPr>
        <w:t xml:space="preserve">Ownership:  </w:t>
      </w:r>
      <w:r>
        <w:rPr>
          <w:rFonts w:ascii="Calibri" w:cs="Calibri" w:eastAsia="Calibri" w:hAnsi="Calibri"/>
          <w:color w:val="3A3A3A"/>
          <w:sz w:val="21"/>
          <w:szCs w:val="21"/>
        </w:rPr>
        <w:t xml:space="preserve">Any peer can run this — no facilitator training required</w:t>
      </w:r>
    </w:p>
    <w:p>
      <w:pPr>
        <w:pBdr>
          <w:bottom w:val="single" w:color="AAAAAA" w:sz="4"/>
        </w:pBdr>
        <w:spacing w:after="100" w:before="100"/>
      </w:pPr>
      <w:r>
        <w:t xml:space="preserve"/>
      </w:r>
    </w:p>
    <w:p>
      <w:pPr>
        <w:spacing w:after="0" w:before="120"/>
      </w:pPr>
      <w:r>
        <w:t xml:space="preserve"/>
      </w:r>
    </w:p>
    <w:p>
      <w:pPr>
        <w:spacing w:after="120" w:before="300"/>
      </w:pPr>
      <w:r>
        <w:rPr>
          <w:rFonts w:ascii="Calibri" w:cs="Calibri" w:eastAsia="Calibri" w:hAnsi="Calibri"/>
          <w:b/>
          <w:bCs/>
          <w:color w:val="1A1A1A"/>
          <w:spacing w:val="10"/>
          <w:sz w:val="24"/>
          <w:szCs w:val="24"/>
        </w:rPr>
        <w:t xml:space="preserve">WHAT THIS IS</w:t>
      </w:r>
    </w:p>
    <w:p>
      <w:pPr>
        <w:spacing w:after="60" w:before="60"/>
        <w:jc w:val="both"/>
      </w:pPr>
      <w:r>
        <w:rPr>
          <w:rFonts w:ascii="Calibri" w:cs="Calibri" w:eastAsia="Calibri" w:hAnsi="Calibri"/>
          <w:color w:val="3A3A3A"/>
          <w:sz w:val="22"/>
          <w:szCs w:val="22"/>
        </w:rPr>
        <w:t xml:space="preserve">This is a voluntary, peer-led gathering for firefighters and driver/operators — held off-site, quarterly. It's not training. It's not a union meeting. It's not a performance review. It's a place to have an honest conversation with people doing the same job you are, away from the station and away from rank.</w:t>
      </w:r>
    </w:p>
    <w:p>
      <w:pPr>
        <w:spacing w:after="0" w:before="80"/>
      </w:pPr>
      <w:r>
        <w:t xml:space="preserve"/>
      </w:r>
    </w:p>
    <w:p>
      <w:pPr>
        <w:spacing w:after="60" w:before="60"/>
        <w:jc w:val="both"/>
      </w:pPr>
      <w:r>
        <w:rPr>
          <w:rFonts w:ascii="Calibri" w:cs="Calibri" w:eastAsia="Calibri" w:hAnsi="Calibri"/>
          <w:color w:val="3A3A3A"/>
          <w:sz w:val="22"/>
          <w:szCs w:val="22"/>
        </w:rPr>
        <w:t xml:space="preserve">The format flexes. Each session gets anchored around a topic someone picked, with enough structure to keep it moving and enough room to let it go where it needs to go.</w:t>
      </w:r>
    </w:p>
    <w:p>
      <w:pPr>
        <w:spacing w:after="0" w:before="100"/>
      </w:pPr>
      <w:r>
        <w:t xml:space="preserve"/>
      </w:r>
    </w:p>
    <w:p>
      <w:pPr>
        <w:spacing w:after="90" w:before="200"/>
      </w:pPr>
      <w:r>
        <w:rPr>
          <w:rFonts w:ascii="Calibri" w:cs="Calibri" w:eastAsia="Calibri" w:hAnsi="Calibri"/>
          <w:b/>
          <w:bCs/>
          <w:color w:val="1A1A1A"/>
          <w:sz w:val="22"/>
          <w:szCs w:val="22"/>
        </w:rPr>
        <w:t xml:space="preserve">Is / Isn't</w:t>
      </w:r>
    </w:p>
    <w:p>
      <w:pPr>
        <w:spacing w:after="0" w:before="4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none" w:color="FFFFFF" w:sz="0"/>
              <w:left w:val="none" w:color="FFFFFF" w:sz="0"/>
              <w:bottom w:val="none" w:color="FFFFFF" w:sz="0"/>
              <w:right w:val="single" w:color="CCCCCC" w:sz="4"/>
            </w:tcBorders>
            <w:tcMar>
              <w:top w:type="dxa" w:w="0"/>
              <w:left w:type="dxa" w:w="0"/>
              <w:bottom w:type="dxa" w:w="0"/>
              <w:right w:type="dxa" w:w="200"/>
            </w:tcMar>
          </w:tcPr>
          <w:p>
            <w:pPr>
              <w:spacing w:after="60"/>
            </w:pPr>
            <w:r>
              <w:rPr>
                <w:rFonts w:ascii="Calibri" w:cs="Calibri" w:eastAsia="Calibri" w:hAnsi="Calibri"/>
                <w:b/>
                <w:bCs/>
                <w:color w:val="1A1A1A"/>
                <w:sz w:val="20"/>
                <w:szCs w:val="20"/>
              </w:rPr>
              <w:t xml:space="preserve">IS</w:t>
            </w:r>
          </w:p>
          <w:p>
            <w:pPr>
              <w:spacing w:before="30"/>
            </w:pPr>
            <w:r>
              <w:rPr>
                <w:rFonts w:ascii="Calibri" w:cs="Calibri" w:eastAsia="Calibri" w:hAnsi="Calibri"/>
                <w:color w:val="3A3A3A"/>
                <w:sz w:val="20"/>
                <w:szCs w:val="20"/>
              </w:rPr>
              <w:t xml:space="preserve">A voluntary space for honest talk</w:t>
            </w:r>
          </w:p>
          <w:p>
            <w:pPr>
              <w:spacing w:before="30"/>
            </w:pPr>
            <w:r>
              <w:rPr>
                <w:rFonts w:ascii="Calibri" w:cs="Calibri" w:eastAsia="Calibri" w:hAnsi="Calibri"/>
                <w:color w:val="3A3A3A"/>
                <w:sz w:val="20"/>
                <w:szCs w:val="20"/>
              </w:rPr>
              <w:t xml:space="preserve">A place to reflect on who you are as a firefighter and leader</w:t>
            </w:r>
          </w:p>
          <w:p>
            <w:pPr>
              <w:spacing w:before="30"/>
            </w:pPr>
            <w:r>
              <w:rPr>
                <w:rFonts w:ascii="Calibri" w:cs="Calibri" w:eastAsia="Calibri" w:hAnsi="Calibri"/>
                <w:color w:val="3A3A3A"/>
                <w:sz w:val="20"/>
                <w:szCs w:val="20"/>
              </w:rPr>
              <w:t xml:space="preserve">Rank in the room, but rank doesn't run it</w:t>
            </w:r>
          </w:p>
          <w:p>
            <w:pPr>
              <w:spacing w:before="30"/>
            </w:pPr>
            <w:r>
              <w:rPr>
                <w:rFonts w:ascii="Calibri" w:cs="Calibri" w:eastAsia="Calibri" w:hAnsi="Calibri"/>
                <w:color w:val="3A3A3A"/>
                <w:sz w:val="20"/>
                <w:szCs w:val="20"/>
              </w:rPr>
              <w:t xml:space="preserve">Belongs to whoever's in it</w:t>
            </w:r>
          </w:p>
        </w:tc>
        <w:tc>
          <w:tcPr>
            <w:tcW w:type="dxa" w:w="4680"/>
            <w:tcBorders>
              <w:top w:val="none" w:color="FFFFFF" w:sz="0"/>
              <w:left w:val="none" w:color="FFFFFF" w:sz="0"/>
              <w:bottom w:val="none" w:color="FFFFFF" w:sz="0"/>
              <w:right w:val="none" w:color="FFFFFF" w:sz="0"/>
            </w:tcBorders>
            <w:tcMar>
              <w:top w:type="dxa" w:w="0"/>
              <w:left w:type="dxa" w:w="200"/>
              <w:bottom w:type="dxa" w:w="0"/>
              <w:right w:type="dxa" w:w="0"/>
            </w:tcMar>
          </w:tcPr>
          <w:p>
            <w:pPr>
              <w:spacing w:after="60"/>
            </w:pPr>
            <w:r>
              <w:rPr>
                <w:rFonts w:ascii="Calibri" w:cs="Calibri" w:eastAsia="Calibri" w:hAnsi="Calibri"/>
                <w:b/>
                <w:bCs/>
                <w:color w:val="1A1A1A"/>
                <w:sz w:val="20"/>
                <w:szCs w:val="20"/>
              </w:rPr>
              <w:t xml:space="preserve">ISN'T</w:t>
            </w:r>
          </w:p>
          <w:p>
            <w:pPr>
              <w:spacing w:before="30"/>
            </w:pPr>
            <w:r>
              <w:rPr>
                <w:rFonts w:ascii="Calibri" w:cs="Calibri" w:eastAsia="Calibri" w:hAnsi="Calibri"/>
                <w:color w:val="3A3A3A"/>
                <w:sz w:val="20"/>
                <w:szCs w:val="20"/>
              </w:rPr>
              <w:t xml:space="preserve">Mandatory training or department program</w:t>
            </w:r>
          </w:p>
          <w:p>
            <w:pPr>
              <w:spacing w:before="30"/>
            </w:pPr>
            <w:r>
              <w:rPr>
                <w:rFonts w:ascii="Calibri" w:cs="Calibri" w:eastAsia="Calibri" w:hAnsi="Calibri"/>
                <w:color w:val="3A3A3A"/>
                <w:sz w:val="20"/>
                <w:szCs w:val="20"/>
              </w:rPr>
              <w:t xml:space="preserve">A grievance session or union meeting</w:t>
            </w:r>
          </w:p>
          <w:p>
            <w:pPr>
              <w:spacing w:before="30"/>
            </w:pPr>
            <w:r>
              <w:rPr>
                <w:rFonts w:ascii="Calibri" w:cs="Calibri" w:eastAsia="Calibri" w:hAnsi="Calibri"/>
                <w:color w:val="3A3A3A"/>
                <w:sz w:val="20"/>
                <w:szCs w:val="20"/>
              </w:rPr>
              <w:t xml:space="preserve">A performance review</w:t>
            </w:r>
          </w:p>
          <w:p>
            <w:pPr>
              <w:spacing w:before="30"/>
            </w:pPr>
            <w:r>
              <w:rPr>
                <w:rFonts w:ascii="Calibri" w:cs="Calibri" w:eastAsia="Calibri" w:hAnsi="Calibri"/>
                <w:color w:val="3A3A3A"/>
                <w:sz w:val="20"/>
                <w:szCs w:val="20"/>
              </w:rPr>
              <w:t xml:space="preserve">About fixing anybody — it's about growing together</w:t>
            </w:r>
          </w:p>
        </w:tc>
      </w:tr>
    </w:tbl>
    <w:p>
      <w:pPr>
        <w:spacing w:after="0" w:before="140"/>
      </w:pPr>
      <w:r>
        <w:t xml:space="preserve"/>
      </w:r>
    </w:p>
    <w:p>
      <w:pPr>
        <w:spacing w:after="120" w:before="300"/>
      </w:pPr>
      <w:r>
        <w:rPr>
          <w:rFonts w:ascii="Calibri" w:cs="Calibri" w:eastAsia="Calibri" w:hAnsi="Calibri"/>
          <w:b/>
          <w:bCs/>
          <w:color w:val="1A1A1A"/>
          <w:spacing w:val="10"/>
          <w:sz w:val="24"/>
          <w:szCs w:val="24"/>
        </w:rPr>
        <w:t xml:space="preserve">GROUND RULES</w:t>
      </w:r>
    </w:p>
    <w:p>
      <w:pPr>
        <w:spacing w:after="60" w:before="60"/>
        <w:jc w:val="both"/>
      </w:pPr>
      <w:r>
        <w:rPr>
          <w:rFonts w:ascii="Calibri" w:cs="Calibri" w:eastAsia="Calibri" w:hAnsi="Calibri"/>
          <w:color w:val="3A3A3A"/>
          <w:sz w:val="22"/>
          <w:szCs w:val="22"/>
        </w:rPr>
        <w:t xml:space="preserve">These hold no matter who's running the session or what the topic is.</w:t>
      </w:r>
    </w:p>
    <w:p>
      <w:pPr>
        <w:spacing w:after="0" w:before="60"/>
      </w:pPr>
      <w:r>
        <w:t xml:space="preserve"/>
      </w:r>
    </w:p>
    <w:p>
      <w:pPr>
        <w:pStyle w:val="ListParagraph"/>
        <w:numPr>
          <w:ilvl w:val="0"/>
          <w:numId w:val="2"/>
        </w:numPr>
        <w:spacing w:after="50" w:before="50"/>
      </w:pPr>
      <w:r>
        <w:rPr>
          <w:rFonts w:ascii="Calibri" w:cs="Calibri" w:eastAsia="Calibri" w:hAnsi="Calibri"/>
          <w:color w:val="3A3A3A"/>
          <w:sz w:val="22"/>
          <w:szCs w:val="22"/>
        </w:rPr>
        <w:t xml:space="preserve">Self-awareness before advice. Ask questions, don't hand out answers.</w:t>
      </w:r>
    </w:p>
    <w:p>
      <w:pPr>
        <w:pStyle w:val="ListParagraph"/>
        <w:numPr>
          <w:ilvl w:val="0"/>
          <w:numId w:val="2"/>
        </w:numPr>
        <w:spacing w:after="50" w:before="50"/>
      </w:pPr>
      <w:r>
        <w:rPr>
          <w:rFonts w:ascii="Calibri" w:cs="Calibri" w:eastAsia="Calibri" w:hAnsi="Calibri"/>
          <w:color w:val="3A3A3A"/>
          <w:sz w:val="22"/>
          <w:szCs w:val="22"/>
        </w:rPr>
        <w:t xml:space="preserve">Whoever's leading goes first. Share something real before you ask it of anybody else.</w:t>
      </w:r>
    </w:p>
    <w:p>
      <w:pPr>
        <w:pStyle w:val="ListParagraph"/>
        <w:numPr>
          <w:ilvl w:val="0"/>
          <w:numId w:val="2"/>
        </w:numPr>
        <w:spacing w:after="50" w:before="50"/>
      </w:pPr>
      <w:r>
        <w:rPr>
          <w:rFonts w:ascii="Calibri" w:cs="Calibri" w:eastAsia="Calibri" w:hAnsi="Calibri"/>
          <w:color w:val="3A3A3A"/>
          <w:sz w:val="22"/>
          <w:szCs w:val="22"/>
        </w:rPr>
        <w:t xml:space="preserve">Connection before content. The first 15 minutes matter more than the activity.</w:t>
      </w:r>
    </w:p>
    <w:p>
      <w:pPr>
        <w:pStyle w:val="ListParagraph"/>
        <w:numPr>
          <w:ilvl w:val="0"/>
          <w:numId w:val="2"/>
        </w:numPr>
        <w:spacing w:after="50" w:before="50"/>
      </w:pPr>
      <w:r>
        <w:rPr>
          <w:rFonts w:ascii="Calibri" w:cs="Calibri" w:eastAsia="Calibri" w:hAnsi="Calibri"/>
          <w:color w:val="3A3A3A"/>
          <w:sz w:val="22"/>
          <w:szCs w:val="22"/>
        </w:rPr>
        <w:t xml:space="preserve">Let silence sit. Count to five before you fill a pause.</w:t>
      </w:r>
    </w:p>
    <w:p>
      <w:pPr>
        <w:pStyle w:val="ListParagraph"/>
        <w:numPr>
          <w:ilvl w:val="0"/>
          <w:numId w:val="2"/>
        </w:numPr>
        <w:spacing w:after="50" w:before="50"/>
      </w:pPr>
      <w:r>
        <w:rPr>
          <w:rFonts w:ascii="Calibri" w:cs="Calibri" w:eastAsia="Calibri" w:hAnsi="Calibri"/>
          <w:color w:val="3A3A3A"/>
          <w:sz w:val="22"/>
          <w:szCs w:val="22"/>
        </w:rPr>
        <w:t xml:space="preserve">What's said here stays here. Nothing goes up the chain unless someone chooses to take it there themselves.</w:t>
      </w:r>
    </w:p>
    <w:p>
      <w:pPr>
        <w:spacing w:after="0" w:before="140"/>
      </w:pPr>
      <w:r>
        <w:t xml:space="preserve"/>
      </w:r>
    </w:p>
    <w:p>
      <w:pPr>
        <w:spacing w:after="120" w:before="300"/>
      </w:pPr>
      <w:r>
        <w:rPr>
          <w:rFonts w:ascii="Calibri" w:cs="Calibri" w:eastAsia="Calibri" w:hAnsi="Calibri"/>
          <w:b/>
          <w:bCs/>
          <w:color w:val="1A1A1A"/>
          <w:spacing w:val="10"/>
          <w:sz w:val="24"/>
          <w:szCs w:val="24"/>
        </w:rPr>
        <w:t xml:space="preserve">TRACK NOTES</w:t>
      </w:r>
    </w:p>
    <w:p>
      <w:pPr>
        <w:spacing w:after="60" w:before="60"/>
        <w:jc w:val="both"/>
      </w:pPr>
      <w:r>
        <w:rPr>
          <w:rFonts w:ascii="Calibri" w:cs="Calibri" w:eastAsia="Calibri" w:hAnsi="Calibri"/>
          <w:color w:val="3A3A3A"/>
          <w:sz w:val="22"/>
          <w:szCs w:val="22"/>
        </w:rPr>
        <w:t xml:space="preserve">Same template, two tracks. Sessions run rank-specific by default — one for Firefighters, one for Driver/Operators. Bring in a guest voice from an adjacent rank when it fits the topic.</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00"/>
        <w:gridCol w:w="3780"/>
        <w:gridCol w:w="3780"/>
      </w:tblGrid>
      <w:tr>
        <w:tc>
          <w:tcPr>
            <w:tcW w:type="dxa" w:w="1800"/>
            <w:tcBorders>
              <w:top w:val="none" w:color="FFFFFF" w:sz="0"/>
              <w:left w:val="none" w:color="FFFFFF" w:sz="0"/>
              <w:bottom w:val="single" w:color="1A1A1A" w:sz="6"/>
              <w:right w:val="none" w:color="FFFFFF" w:sz="0"/>
            </w:tcBorders>
            <w:tcMar>
              <w:top w:type="dxa" w:w="60"/>
              <w:left w:type="dxa" w:w="100"/>
              <w:bottom w:type="dxa" w:w="60"/>
              <w:right w:type="dxa" w:w="100"/>
            </w:tcMar>
          </w:tcPr>
          <w:p>
            <w:r>
              <w:rPr>
                <w:rFonts w:ascii="Calibri" w:cs="Calibri" w:eastAsia="Calibri" w:hAnsi="Calibri"/>
                <w:b/>
                <w:bCs/>
                <w:color w:val="1A1A1A"/>
                <w:sz w:val="19"/>
                <w:szCs w:val="19"/>
              </w:rPr>
              <w:t xml:space="preserve"/>
            </w:r>
          </w:p>
        </w:tc>
        <w:tc>
          <w:tcPr>
            <w:tcW w:type="dxa" w:w="3780"/>
            <w:tcBorders>
              <w:top w:val="none" w:color="FFFFFF" w:sz="0"/>
              <w:left w:val="none" w:color="FFFFFF" w:sz="0"/>
              <w:bottom w:val="single" w:color="1A1A1A" w:sz="6"/>
              <w:right w:val="none" w:color="FFFFFF" w:sz="0"/>
            </w:tcBorders>
            <w:tcMar>
              <w:top w:type="dxa" w:w="60"/>
              <w:left w:type="dxa" w:w="100"/>
              <w:bottom w:type="dxa" w:w="60"/>
              <w:right w:type="dxa" w:w="100"/>
            </w:tcMar>
          </w:tcPr>
          <w:p>
            <w:r>
              <w:rPr>
                <w:rFonts w:ascii="Calibri" w:cs="Calibri" w:eastAsia="Calibri" w:hAnsi="Calibri"/>
                <w:b/>
                <w:bCs/>
                <w:color w:val="1A1A1A"/>
                <w:sz w:val="19"/>
                <w:szCs w:val="19"/>
              </w:rPr>
              <w:t xml:space="preserve">Firefighter Track</w:t>
            </w:r>
          </w:p>
        </w:tc>
        <w:tc>
          <w:tcPr>
            <w:tcW w:type="dxa" w:w="3780"/>
            <w:tcBorders>
              <w:top w:val="none" w:color="FFFFFF" w:sz="0"/>
              <w:left w:val="none" w:color="FFFFFF" w:sz="0"/>
              <w:bottom w:val="single" w:color="1A1A1A" w:sz="6"/>
              <w:right w:val="none" w:color="FFFFFF" w:sz="0"/>
            </w:tcBorders>
            <w:tcMar>
              <w:top w:type="dxa" w:w="60"/>
              <w:left w:type="dxa" w:w="100"/>
              <w:bottom w:type="dxa" w:w="60"/>
              <w:right w:type="dxa" w:w="100"/>
            </w:tcMar>
          </w:tcPr>
          <w:p>
            <w:r>
              <w:rPr>
                <w:rFonts w:ascii="Calibri" w:cs="Calibri" w:eastAsia="Calibri" w:hAnsi="Calibri"/>
                <w:b/>
                <w:bCs/>
                <w:color w:val="1A1A1A"/>
                <w:sz w:val="19"/>
                <w:szCs w:val="19"/>
              </w:rPr>
              <w:t xml:space="preserve">Driver/Operator Track</w:t>
            </w:r>
          </w:p>
        </w:tc>
      </w:tr>
      <w:tr>
        <w:tc>
          <w:tcPr>
            <w:tcW w:type="dxa" w:w="180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bCs/>
                <w:color w:val="1A1A1A"/>
                <w:sz w:val="19"/>
                <w:szCs w:val="19"/>
              </w:rPr>
              <w:t xml:space="preserve">Focus</w:t>
            </w:r>
          </w:p>
        </w:tc>
        <w:tc>
          <w:tcPr>
            <w:tcW w:type="dxa" w:w="378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val="false"/>
                <w:bCs w:val="false"/>
                <w:color w:val="3A3A3A"/>
                <w:sz w:val="19"/>
                <w:szCs w:val="19"/>
              </w:rPr>
              <w:t xml:space="preserve">Identity and direction</w:t>
            </w:r>
          </w:p>
        </w:tc>
        <w:tc>
          <w:tcPr>
            <w:tcW w:type="dxa" w:w="378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val="false"/>
                <w:bCs w:val="false"/>
                <w:color w:val="3A3A3A"/>
                <w:sz w:val="19"/>
                <w:szCs w:val="19"/>
              </w:rPr>
              <w:t xml:space="preserve">Leadership formation</w:t>
            </w:r>
          </w:p>
        </w:tc>
      </w:tr>
      <w:tr>
        <w:tc>
          <w:tcPr>
            <w:tcW w:type="dxa" w:w="180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bCs/>
                <w:color w:val="1A1A1A"/>
                <w:sz w:val="19"/>
                <w:szCs w:val="19"/>
              </w:rPr>
              <w:t xml:space="preserve">Core question</w:t>
            </w:r>
          </w:p>
        </w:tc>
        <w:tc>
          <w:tcPr>
            <w:tcW w:type="dxa" w:w="378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val="false"/>
                <w:bCs w:val="false"/>
                <w:color w:val="3A3A3A"/>
                <w:sz w:val="19"/>
                <w:szCs w:val="19"/>
              </w:rPr>
              <w:t xml:space="preserve">Who am I becoming in this role?</w:t>
            </w:r>
          </w:p>
        </w:tc>
        <w:tc>
          <w:tcPr>
            <w:tcW w:type="dxa" w:w="378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val="false"/>
                <w:bCs w:val="false"/>
                <w:color w:val="3A3A3A"/>
                <w:sz w:val="19"/>
                <w:szCs w:val="19"/>
              </w:rPr>
              <w:t xml:space="preserve">Who am I as a leader — formal or not?</w:t>
            </w:r>
          </w:p>
        </w:tc>
      </w:tr>
      <w:tr>
        <w:tc>
          <w:tcPr>
            <w:tcW w:type="dxa" w:w="180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bCs/>
                <w:color w:val="1A1A1A"/>
                <w:sz w:val="19"/>
                <w:szCs w:val="19"/>
              </w:rPr>
              <w:t xml:space="preserve">Invite in</w:t>
            </w:r>
          </w:p>
        </w:tc>
        <w:tc>
          <w:tcPr>
            <w:tcW w:type="dxa" w:w="378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val="false"/>
                <w:bCs w:val="false"/>
                <w:color w:val="3A3A3A"/>
                <w:sz w:val="19"/>
                <w:szCs w:val="19"/>
              </w:rPr>
              <w:t xml:space="preserve">Senior FFs, Drivers, gap-year mentors</w:t>
            </w:r>
          </w:p>
        </w:tc>
        <w:tc>
          <w:tcPr>
            <w:tcW w:type="dxa" w:w="378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val="false"/>
                <w:bCs w:val="false"/>
                <w:color w:val="3A3A3A"/>
                <w:sz w:val="19"/>
                <w:szCs w:val="19"/>
              </w:rPr>
              <w:t xml:space="preserve">Captains as guests, occasionally a BC</w:t>
            </w:r>
          </w:p>
        </w:tc>
      </w:tr>
      <w:tr>
        <w:tc>
          <w:tcPr>
            <w:tcW w:type="dxa" w:w="180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bCs/>
                <w:color w:val="1A1A1A"/>
                <w:sz w:val="19"/>
                <w:szCs w:val="19"/>
              </w:rPr>
              <w:t xml:space="preserve">Anchor themes</w:t>
            </w:r>
          </w:p>
        </w:tc>
        <w:tc>
          <w:tcPr>
            <w:tcW w:type="dxa" w:w="378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val="false"/>
                <w:bCs w:val="false"/>
                <w:color w:val="3A3A3A"/>
                <w:sz w:val="19"/>
                <w:szCs w:val="19"/>
              </w:rPr>
              <w:t xml:space="preserve">Career path, sub-disciplines, the gap year</w:t>
            </w:r>
          </w:p>
        </w:tc>
        <w:tc>
          <w:tcPr>
            <w:tcW w:type="dxa" w:w="378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val="false"/>
                <w:bCs w:val="false"/>
                <w:color w:val="3A3A3A"/>
                <w:sz w:val="19"/>
                <w:szCs w:val="19"/>
              </w:rPr>
              <w:t xml:space="preserve">Self-awareness, peer feedback, stepping up</w:t>
            </w:r>
          </w:p>
        </w:tc>
      </w:tr>
    </w:tbl>
    <w:p>
      <w:pPr>
        <w:spacing w:after="0" w:before="140"/>
      </w:pPr>
      <w:r>
        <w:t xml:space="preserve"/>
      </w:r>
    </w:p>
    <w:p>
      <w:pPr>
        <w:spacing w:after="120" w:before="300"/>
      </w:pPr>
      <w:r>
        <w:rPr>
          <w:rFonts w:ascii="Calibri" w:cs="Calibri" w:eastAsia="Calibri" w:hAnsi="Calibri"/>
          <w:b/>
          <w:bCs/>
          <w:color w:val="1A1A1A"/>
          <w:spacing w:val="10"/>
          <w:sz w:val="24"/>
          <w:szCs w:val="24"/>
        </w:rPr>
        <w:t xml:space="preserve">SENDING THE PRIMER</w:t>
      </w:r>
    </w:p>
    <w:p>
      <w:pPr>
        <w:spacing w:after="60" w:before="60"/>
        <w:jc w:val="both"/>
      </w:pPr>
      <w:r>
        <w:rPr>
          <w:rFonts w:ascii="Calibri" w:cs="Calibri" w:eastAsia="Calibri" w:hAnsi="Calibri"/>
          <w:color w:val="3A3A3A"/>
          <w:sz w:val="22"/>
          <w:szCs w:val="22"/>
        </w:rPr>
        <w:t xml:space="preserve">A week or two out, send a short message with the topic or question for that session. Keep it short — plant a seed, don't assign homework.</w:t>
      </w:r>
    </w:p>
    <w:p>
      <w:pPr>
        <w:spacing w:after="0" w:before="80"/>
      </w:pPr>
      <w:r>
        <w:t xml:space="preserve"/>
      </w:r>
    </w:p>
    <w:p>
      <w:pPr>
        <w:pBdr>
          <w:left w:val="single" w:color="1A1A1A" w:sz="6"/>
        </w:pBdr>
        <w:spacing w:after="60" w:before="60"/>
        <w:ind w:left="360"/>
      </w:pPr>
      <w:r>
        <w:rPr>
          <w:rFonts w:ascii="Calibri" w:cs="Calibri" w:eastAsia="Calibri" w:hAnsi="Calibri"/>
          <w:i/>
          <w:iCs/>
          <w:color w:val="3A3A3A"/>
          <w:sz w:val="21"/>
          <w:szCs w:val="21"/>
        </w:rPr>
        <w:t xml:space="preserve">Hey — we're getting together [date] at [location], [time]. Coming in, sit with this: [question]. No need to prep anything. Just let it rattle around. See you there.</w:t>
      </w:r>
    </w:p>
    <w:p>
      <w:pPr>
        <w:spacing w:after="0" w:before="140"/>
      </w:pPr>
      <w:r>
        <w:t xml:space="preserve"/>
      </w:r>
    </w:p>
    <w:p>
      <w:pPr>
        <w:spacing w:after="120" w:before="300"/>
      </w:pPr>
      <w:r>
        <w:rPr>
          <w:rFonts w:ascii="Calibri" w:cs="Calibri" w:eastAsia="Calibri" w:hAnsi="Calibri"/>
          <w:b/>
          <w:bCs/>
          <w:color w:val="1A1A1A"/>
          <w:spacing w:val="10"/>
          <w:sz w:val="24"/>
          <w:szCs w:val="24"/>
        </w:rPr>
        <w:t xml:space="preserve">SESSION ARC — 90 TO 120 MINUTES</w:t>
      </w:r>
    </w:p>
    <w:p>
      <w:pPr>
        <w:spacing w:after="60" w:before="60"/>
        <w:jc w:val="both"/>
      </w:pPr>
      <w:r>
        <w:rPr>
          <w:rFonts w:ascii="Calibri" w:cs="Calibri" w:eastAsia="Calibri" w:hAnsi="Calibri"/>
          <w:color w:val="3A3A3A"/>
          <w:sz w:val="22"/>
          <w:szCs w:val="22"/>
        </w:rPr>
        <w:t xml:space="preserve">This is a guide, not a script. If the conversation's alive, let it run long. The close is the one part that doesn't get cut — always end with individual reflection and a clear next step.</w:t>
      </w:r>
    </w:p>
    <w:p>
      <w:pPr>
        <w:spacing w:after="0" w:before="1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8660"/>
      </w:tblGrid>
      <w:tr>
        <w:tc>
          <w:tcPr>
            <w:tcW w:type="dxa" w:w="700"/>
            <w:tcBorders>
              <w:top w:val="none" w:color="FFFFFF" w:sz="0"/>
              <w:left w:val="none" w:color="FFFFFF" w:sz="0"/>
              <w:bottom w:val="none" w:color="FFFFFF" w:sz="0"/>
              <w:right w:val="none" w:color="FFFFFF" w:sz="0"/>
            </w:tcBorders>
            <w:tcMar>
              <w:top w:type="dxa" w:w="100"/>
              <w:left w:type="dxa" w:w="0"/>
              <w:bottom w:type="dxa" w:w="100"/>
              <w:right w:type="dxa" w:w="0"/>
            </w:tcMar>
          </w:tcPr>
          <w:p>
            <w:r>
              <w:rPr>
                <w:rFonts w:ascii="Calibri" w:cs="Calibri" w:eastAsia="Calibri" w:hAnsi="Calibri"/>
                <w:b/>
                <w:bCs/>
                <w:color w:val="1A1A1A"/>
                <w:sz w:val="30"/>
                <w:szCs w:val="30"/>
              </w:rPr>
              <w:t xml:space="preserve">1</w:t>
            </w:r>
          </w:p>
        </w:tc>
        <w:tc>
          <w:tcPr>
            <w:tcW w:type="dxa" w:w="8660"/>
            <w:tcBorders>
              <w:top w:val="none" w:color="FFFFFF" w:sz="0"/>
              <w:left w:val="single" w:color="1A1A1A" w:sz="6"/>
              <w:bottom w:val="none" w:color="FFFFFF" w:sz="0"/>
              <w:right w:val="none" w:color="FFFFFF" w:sz="0"/>
            </w:tcBorders>
            <w:tcMar>
              <w:top w:type="dxa" w:w="100"/>
              <w:left w:type="dxa" w:w="200"/>
              <w:bottom w:type="dxa" w:w="100"/>
              <w:right w:type="dxa" w:w="0"/>
            </w:tcMar>
          </w:tcPr>
          <w:p>
            <w:r>
              <w:rPr>
                <w:rFonts w:ascii="Calibri" w:cs="Calibri" w:eastAsia="Calibri" w:hAnsi="Calibri"/>
                <w:b/>
                <w:bCs/>
                <w:color w:val="1A1A1A"/>
                <w:sz w:val="22"/>
                <w:szCs w:val="22"/>
              </w:rPr>
              <w:t xml:space="preserve">Open — 15 to 20 min</w:t>
            </w:r>
            <w:r>
              <w:rPr>
                <w:rFonts w:ascii="Calibri" w:cs="Calibri" w:eastAsia="Calibri" w:hAnsi="Calibri"/>
                <w:i/>
                <w:iCs/>
                <w:color w:val="777777"/>
                <w:sz w:val="19"/>
                <w:szCs w:val="19"/>
              </w:rPr>
              <w:t xml:space="preserve">   —  set the container</w:t>
            </w:r>
          </w:p>
          <w:p>
            <w:pPr>
              <w:spacing w:before="60"/>
            </w:pPr>
            <w:r>
              <w:rPr>
                <w:rFonts w:ascii="Calibri" w:cs="Calibri" w:eastAsia="Calibri" w:hAnsi="Calibri"/>
                <w:color w:val="3A3A3A"/>
                <w:sz w:val="21"/>
                <w:szCs w:val="21"/>
              </w:rPr>
              <w:t xml:space="preserve">Whoever's running it goes first — something real, not polished. Name what this is and isn't. Build the ground rules together, out loud. One opening question to get every voice in the room early.</w:t>
            </w:r>
          </w:p>
        </w:tc>
      </w:tr>
    </w:tbl>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8660"/>
      </w:tblGrid>
      <w:tr>
        <w:tc>
          <w:tcPr>
            <w:tcW w:type="dxa" w:w="700"/>
            <w:tcBorders>
              <w:top w:val="none" w:color="FFFFFF" w:sz="0"/>
              <w:left w:val="none" w:color="FFFFFF" w:sz="0"/>
              <w:bottom w:val="none" w:color="FFFFFF" w:sz="0"/>
              <w:right w:val="none" w:color="FFFFFF" w:sz="0"/>
            </w:tcBorders>
            <w:tcMar>
              <w:top w:type="dxa" w:w="100"/>
              <w:left w:type="dxa" w:w="0"/>
              <w:bottom w:type="dxa" w:w="100"/>
              <w:right w:type="dxa" w:w="0"/>
            </w:tcMar>
          </w:tcPr>
          <w:p>
            <w:r>
              <w:rPr>
                <w:rFonts w:ascii="Calibri" w:cs="Calibri" w:eastAsia="Calibri" w:hAnsi="Calibri"/>
                <w:b/>
                <w:bCs/>
                <w:color w:val="1A1A1A"/>
                <w:sz w:val="30"/>
                <w:szCs w:val="30"/>
              </w:rPr>
              <w:t xml:space="preserve">2</w:t>
            </w:r>
          </w:p>
        </w:tc>
        <w:tc>
          <w:tcPr>
            <w:tcW w:type="dxa" w:w="8660"/>
            <w:tcBorders>
              <w:top w:val="none" w:color="FFFFFF" w:sz="0"/>
              <w:left w:val="single" w:color="1A1A1A" w:sz="6"/>
              <w:bottom w:val="none" w:color="FFFFFF" w:sz="0"/>
              <w:right w:val="none" w:color="FFFFFF" w:sz="0"/>
            </w:tcBorders>
            <w:tcMar>
              <w:top w:type="dxa" w:w="100"/>
              <w:left w:type="dxa" w:w="200"/>
              <w:bottom w:type="dxa" w:w="100"/>
              <w:right w:type="dxa" w:w="0"/>
            </w:tcMar>
          </w:tcPr>
          <w:p>
            <w:r>
              <w:rPr>
                <w:rFonts w:ascii="Calibri" w:cs="Calibri" w:eastAsia="Calibri" w:hAnsi="Calibri"/>
                <w:b/>
                <w:bCs/>
                <w:color w:val="1A1A1A"/>
                <w:sz w:val="22"/>
                <w:szCs w:val="22"/>
              </w:rPr>
              <w:t xml:space="preserve">Activity — 30 to 40 min</w:t>
            </w:r>
            <w:r>
              <w:rPr>
                <w:rFonts w:ascii="Calibri" w:cs="Calibri" w:eastAsia="Calibri" w:hAnsi="Calibri"/>
                <w:i/>
                <w:iCs/>
                <w:color w:val="777777"/>
                <w:sz w:val="19"/>
                <w:szCs w:val="19"/>
              </w:rPr>
              <w:t xml:space="preserve">   —  structured self-awareness</w:t>
            </w:r>
          </w:p>
          <w:p>
            <w:pPr>
              <w:spacing w:before="60"/>
            </w:pPr>
            <w:r>
              <w:rPr>
                <w:rFonts w:ascii="Calibri" w:cs="Calibri" w:eastAsia="Calibri" w:hAnsi="Calibri"/>
                <w:color w:val="3A3A3A"/>
                <w:sz w:val="21"/>
                <w:szCs w:val="21"/>
              </w:rPr>
              <w:t xml:space="preserve">Johari's Window paired exchange works well, especially with people who already know each other — it surfaces blind spots that don't come up in normal conversation. Pairs share one thing they think they're known for, then their partner adds what they'd see differently.</w:t>
            </w:r>
          </w:p>
        </w:tc>
      </w:tr>
    </w:tbl>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8660"/>
      </w:tblGrid>
      <w:tr>
        <w:tc>
          <w:tcPr>
            <w:tcW w:type="dxa" w:w="700"/>
            <w:tcBorders>
              <w:top w:val="none" w:color="FFFFFF" w:sz="0"/>
              <w:left w:val="none" w:color="FFFFFF" w:sz="0"/>
              <w:bottom w:val="none" w:color="FFFFFF" w:sz="0"/>
              <w:right w:val="none" w:color="FFFFFF" w:sz="0"/>
            </w:tcBorders>
            <w:tcMar>
              <w:top w:type="dxa" w:w="100"/>
              <w:left w:type="dxa" w:w="0"/>
              <w:bottom w:type="dxa" w:w="100"/>
              <w:right w:type="dxa" w:w="0"/>
            </w:tcMar>
          </w:tcPr>
          <w:p>
            <w:r>
              <w:rPr>
                <w:rFonts w:ascii="Calibri" w:cs="Calibri" w:eastAsia="Calibri" w:hAnsi="Calibri"/>
                <w:b/>
                <w:bCs/>
                <w:color w:val="1A1A1A"/>
                <w:sz w:val="30"/>
                <w:szCs w:val="30"/>
              </w:rPr>
              <w:t xml:space="preserve">3</w:t>
            </w:r>
          </w:p>
        </w:tc>
        <w:tc>
          <w:tcPr>
            <w:tcW w:type="dxa" w:w="8660"/>
            <w:tcBorders>
              <w:top w:val="none" w:color="FFFFFF" w:sz="0"/>
              <w:left w:val="single" w:color="1A1A1A" w:sz="6"/>
              <w:bottom w:val="none" w:color="FFFFFF" w:sz="0"/>
              <w:right w:val="none" w:color="FFFFFF" w:sz="0"/>
            </w:tcBorders>
            <w:tcMar>
              <w:top w:type="dxa" w:w="100"/>
              <w:left w:type="dxa" w:w="200"/>
              <w:bottom w:type="dxa" w:w="100"/>
              <w:right w:type="dxa" w:w="0"/>
            </w:tcMar>
          </w:tcPr>
          <w:p>
            <w:r>
              <w:rPr>
                <w:rFonts w:ascii="Calibri" w:cs="Calibri" w:eastAsia="Calibri" w:hAnsi="Calibri"/>
                <w:b/>
                <w:bCs/>
                <w:color w:val="1A1A1A"/>
                <w:sz w:val="22"/>
                <w:szCs w:val="22"/>
              </w:rPr>
              <w:t xml:space="preserve">Open conversation — 30 to 40 min</w:t>
            </w:r>
            <w:r>
              <w:rPr>
                <w:rFonts w:ascii="Calibri" w:cs="Calibri" w:eastAsia="Calibri" w:hAnsi="Calibri"/>
                <w:i/>
                <w:iCs/>
                <w:color w:val="777777"/>
                <w:sz w:val="19"/>
                <w:szCs w:val="19"/>
              </w:rPr>
              <w:t xml:space="preserve">   —  the heart of it</w:t>
            </w:r>
          </w:p>
          <w:p>
            <w:pPr>
              <w:spacing w:before="60"/>
            </w:pPr>
            <w:r>
              <w:rPr>
                <w:rFonts w:ascii="Calibri" w:cs="Calibri" w:eastAsia="Calibri" w:hAnsi="Calibri"/>
                <w:color w:val="3A3A3A"/>
                <w:sz w:val="21"/>
                <w:szCs w:val="21"/>
              </w:rPr>
              <w:t xml:space="preserve">Three questions, asked in order, given room to breathe: What do you need that you're not getting? What do you have to offer that isn't being used? What would make you actually keep showing up? Let the third one breathe the longest.</w:t>
            </w:r>
          </w:p>
        </w:tc>
      </w:tr>
    </w:tbl>
    <w:p>
      <w:pPr>
        <w:spacing w:after="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700"/>
        <w:gridCol w:w="8660"/>
      </w:tblGrid>
      <w:tr>
        <w:tc>
          <w:tcPr>
            <w:tcW w:type="dxa" w:w="700"/>
            <w:tcBorders>
              <w:top w:val="none" w:color="FFFFFF" w:sz="0"/>
              <w:left w:val="none" w:color="FFFFFF" w:sz="0"/>
              <w:bottom w:val="none" w:color="FFFFFF" w:sz="0"/>
              <w:right w:val="none" w:color="FFFFFF" w:sz="0"/>
            </w:tcBorders>
            <w:tcMar>
              <w:top w:type="dxa" w:w="100"/>
              <w:left w:type="dxa" w:w="0"/>
              <w:bottom w:type="dxa" w:w="100"/>
              <w:right w:type="dxa" w:w="0"/>
            </w:tcMar>
          </w:tcPr>
          <w:p>
            <w:r>
              <w:rPr>
                <w:rFonts w:ascii="Calibri" w:cs="Calibri" w:eastAsia="Calibri" w:hAnsi="Calibri"/>
                <w:b/>
                <w:bCs/>
                <w:color w:val="1A1A1A"/>
                <w:sz w:val="30"/>
                <w:szCs w:val="30"/>
              </w:rPr>
              <w:t xml:space="preserve">4</w:t>
            </w:r>
          </w:p>
        </w:tc>
        <w:tc>
          <w:tcPr>
            <w:tcW w:type="dxa" w:w="8660"/>
            <w:tcBorders>
              <w:top w:val="none" w:color="FFFFFF" w:sz="0"/>
              <w:left w:val="single" w:color="1A1A1A" w:sz="6"/>
              <w:bottom w:val="none" w:color="FFFFFF" w:sz="0"/>
              <w:right w:val="none" w:color="FFFFFF" w:sz="0"/>
            </w:tcBorders>
            <w:tcMar>
              <w:top w:type="dxa" w:w="100"/>
              <w:left w:type="dxa" w:w="200"/>
              <w:bottom w:type="dxa" w:w="100"/>
              <w:right w:type="dxa" w:w="0"/>
            </w:tcMar>
          </w:tcPr>
          <w:p>
            <w:r>
              <w:rPr>
                <w:rFonts w:ascii="Calibri" w:cs="Calibri" w:eastAsia="Calibri" w:hAnsi="Calibri"/>
                <w:b/>
                <w:bCs/>
                <w:color w:val="1A1A1A"/>
                <w:sz w:val="22"/>
                <w:szCs w:val="22"/>
              </w:rPr>
              <w:t xml:space="preserve">Close — 15 min</w:t>
            </w:r>
            <w:r>
              <w:rPr>
                <w:rFonts w:ascii="Calibri" w:cs="Calibri" w:eastAsia="Calibri" w:hAnsi="Calibri"/>
                <w:i/>
                <w:iCs/>
                <w:color w:val="777777"/>
                <w:sz w:val="19"/>
                <w:szCs w:val="19"/>
              </w:rPr>
              <w:t xml:space="preserve">   —  individual reflection</w:t>
            </w:r>
          </w:p>
          <w:p>
            <w:pPr>
              <w:spacing w:before="60"/>
            </w:pPr>
            <w:r>
              <w:rPr>
                <w:rFonts w:ascii="Calibri" w:cs="Calibri" w:eastAsia="Calibri" w:hAnsi="Calibri"/>
                <w:color w:val="3A3A3A"/>
                <w:sz w:val="21"/>
                <w:szCs w:val="21"/>
              </w:rPr>
              <w:t xml:space="preserve">Notecard, two lines: one thing I'm taking from today, one thing I'm willing to bring. Whoever's running it reflects back what they heard — not a summary, just naming it honest. Group picks the next topic. State what happens next and when.</w:t>
            </w:r>
          </w:p>
        </w:tc>
      </w:tr>
    </w:tbl>
    <w:p>
      <w:pPr>
        <w:spacing w:after="0" w:before="140"/>
      </w:pPr>
      <w:r>
        <w:t xml:space="preserve"/>
      </w:r>
    </w:p>
    <w:p>
      <w:pPr>
        <w:spacing w:after="120" w:before="300"/>
      </w:pPr>
      <w:r>
        <w:rPr>
          <w:rFonts w:ascii="Calibri" w:cs="Calibri" w:eastAsia="Calibri" w:hAnsi="Calibri"/>
          <w:b/>
          <w:bCs/>
          <w:color w:val="1A1A1A"/>
          <w:spacing w:val="10"/>
          <w:sz w:val="24"/>
          <w:szCs w:val="24"/>
        </w:rPr>
        <w:t xml:space="preserve">TOPICS TO PULL FROM</w:t>
      </w:r>
    </w:p>
    <w:p>
      <w:pPr>
        <w:spacing w:after="60" w:before="60"/>
        <w:jc w:val="both"/>
      </w:pPr>
      <w:r>
        <w:rPr>
          <w:rFonts w:ascii="Calibri" w:cs="Calibri" w:eastAsia="Calibri" w:hAnsi="Calibri"/>
          <w:color w:val="3A3A3A"/>
          <w:sz w:val="22"/>
          <w:szCs w:val="22"/>
        </w:rPr>
        <w:t xml:space="preserve">Rotates every session — group picks the next one, or the facilitator anchors around something that's surfacing in the department. This is a starting menu, not a fixed list.</w:t>
      </w:r>
    </w:p>
    <w:p>
      <w:pPr>
        <w:spacing w:after="0" w:before="8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360"/>
      </w:tblGrid>
      <w:tr>
        <w:tc>
          <w:tcPr>
            <w:tcW w:type="dxa" w:w="4000"/>
            <w:tcBorders>
              <w:top w:val="none" w:color="FFFFFF" w:sz="0"/>
              <w:left w:val="none" w:color="FFFFFF" w:sz="0"/>
              <w:bottom w:val="single" w:color="1A1A1A" w:sz="6"/>
              <w:right w:val="none" w:color="FFFFFF" w:sz="0"/>
            </w:tcBorders>
            <w:tcMar>
              <w:top w:type="dxa" w:w="60"/>
              <w:left w:type="dxa" w:w="100"/>
              <w:bottom w:type="dxa" w:w="60"/>
              <w:right w:type="dxa" w:w="100"/>
            </w:tcMar>
          </w:tcPr>
          <w:p>
            <w:r>
              <w:rPr>
                <w:rFonts w:ascii="Calibri" w:cs="Calibri" w:eastAsia="Calibri" w:hAnsi="Calibri"/>
                <w:b/>
                <w:bCs/>
                <w:color w:val="1A1A1A"/>
                <w:sz w:val="19"/>
                <w:szCs w:val="19"/>
              </w:rPr>
              <w:t xml:space="preserve">Topic</w:t>
            </w:r>
          </w:p>
        </w:tc>
        <w:tc>
          <w:tcPr>
            <w:tcW w:type="dxa" w:w="5360"/>
            <w:tcBorders>
              <w:top w:val="none" w:color="FFFFFF" w:sz="0"/>
              <w:left w:val="none" w:color="FFFFFF" w:sz="0"/>
              <w:bottom w:val="single" w:color="1A1A1A" w:sz="6"/>
              <w:right w:val="none" w:color="FFFFFF" w:sz="0"/>
            </w:tcBorders>
            <w:tcMar>
              <w:top w:type="dxa" w:w="60"/>
              <w:left w:type="dxa" w:w="100"/>
              <w:bottom w:type="dxa" w:w="60"/>
              <w:right w:type="dxa" w:w="100"/>
            </w:tcMar>
          </w:tcPr>
          <w:p>
            <w:r>
              <w:rPr>
                <w:rFonts w:ascii="Calibri" w:cs="Calibri" w:eastAsia="Calibri" w:hAnsi="Calibri"/>
                <w:b/>
                <w:bCs/>
                <w:color w:val="1A1A1A"/>
                <w:sz w:val="19"/>
                <w:szCs w:val="19"/>
              </w:rPr>
              <w:t xml:space="preserve">Anchor Question</w:t>
            </w:r>
          </w:p>
        </w:tc>
      </w:tr>
      <w:tr>
        <w:tc>
          <w:tcPr>
            <w:tcW w:type="dxa" w:w="400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bCs/>
                <w:color w:val="1A1A1A"/>
                <w:sz w:val="19"/>
                <w:szCs w:val="19"/>
              </w:rPr>
              <w:t xml:space="preserve">Self &amp; Identity</w:t>
            </w:r>
          </w:p>
        </w:tc>
        <w:tc>
          <w:tcPr>
            <w:tcW w:type="dxa" w:w="536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val="false"/>
                <w:bCs w:val="false"/>
                <w:color w:val="3A3A3A"/>
                <w:sz w:val="19"/>
                <w:szCs w:val="19"/>
              </w:rPr>
              <w:t xml:space="preserve">Who am I right now — as a firefighter, as a leader?</w:t>
            </w:r>
          </w:p>
        </w:tc>
      </w:tr>
      <w:tr>
        <w:tc>
          <w:tcPr>
            <w:tcW w:type="dxa" w:w="400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bCs/>
                <w:color w:val="1A1A1A"/>
                <w:sz w:val="19"/>
                <w:szCs w:val="19"/>
              </w:rPr>
              <w:t xml:space="preserve">Feedback &amp; Blind Spots</w:t>
            </w:r>
          </w:p>
        </w:tc>
        <w:tc>
          <w:tcPr>
            <w:tcW w:type="dxa" w:w="536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val="false"/>
                <w:bCs w:val="false"/>
                <w:color w:val="3A3A3A"/>
                <w:sz w:val="19"/>
                <w:szCs w:val="19"/>
              </w:rPr>
              <w:t xml:space="preserve">What don't I see about myself that others do?</w:t>
            </w:r>
          </w:p>
        </w:tc>
      </w:tr>
      <w:tr>
        <w:tc>
          <w:tcPr>
            <w:tcW w:type="dxa" w:w="400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bCs/>
                <w:color w:val="1A1A1A"/>
                <w:sz w:val="19"/>
                <w:szCs w:val="19"/>
              </w:rPr>
              <w:t xml:space="preserve">Leadership in Practice</w:t>
            </w:r>
          </w:p>
        </w:tc>
        <w:tc>
          <w:tcPr>
            <w:tcW w:type="dxa" w:w="536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val="false"/>
                <w:bCs w:val="false"/>
                <w:color w:val="3A3A3A"/>
                <w:sz w:val="19"/>
                <w:szCs w:val="19"/>
              </w:rPr>
              <w:t xml:space="preserve">What does leading actually look like at my rank?</w:t>
            </w:r>
          </w:p>
        </w:tc>
      </w:tr>
      <w:tr>
        <w:tc>
          <w:tcPr>
            <w:tcW w:type="dxa" w:w="400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bCs/>
                <w:color w:val="1A1A1A"/>
                <w:sz w:val="19"/>
                <w:szCs w:val="19"/>
              </w:rPr>
              <w:t xml:space="preserve">Mentorship &amp; Relationships</w:t>
            </w:r>
          </w:p>
        </w:tc>
        <w:tc>
          <w:tcPr>
            <w:tcW w:type="dxa" w:w="536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val="false"/>
                <w:bCs w:val="false"/>
                <w:color w:val="3A3A3A"/>
                <w:sz w:val="19"/>
                <w:szCs w:val="19"/>
              </w:rPr>
              <w:t xml:space="preserve">Who's shaped me, and what do I owe forward?</w:t>
            </w:r>
          </w:p>
        </w:tc>
      </w:tr>
      <w:tr>
        <w:tc>
          <w:tcPr>
            <w:tcW w:type="dxa" w:w="400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bCs/>
                <w:color w:val="1A1A1A"/>
                <w:sz w:val="19"/>
                <w:szCs w:val="19"/>
              </w:rPr>
              <w:t xml:space="preserve">Navigating Difficulty</w:t>
            </w:r>
          </w:p>
        </w:tc>
        <w:tc>
          <w:tcPr>
            <w:tcW w:type="dxa" w:w="536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val="false"/>
                <w:bCs w:val="false"/>
                <w:color w:val="3A3A3A"/>
                <w:sz w:val="19"/>
                <w:szCs w:val="19"/>
              </w:rPr>
              <w:t xml:space="preserve">How do I handle conflict and pressure?</w:t>
            </w:r>
          </w:p>
        </w:tc>
      </w:tr>
      <w:tr>
        <w:tc>
          <w:tcPr>
            <w:tcW w:type="dxa" w:w="400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bCs/>
                <w:color w:val="1A1A1A"/>
                <w:sz w:val="19"/>
                <w:szCs w:val="19"/>
              </w:rPr>
              <w:t xml:space="preserve">Career &amp; Direction</w:t>
            </w:r>
          </w:p>
        </w:tc>
        <w:tc>
          <w:tcPr>
            <w:tcW w:type="dxa" w:w="536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val="false"/>
                <w:bCs w:val="false"/>
                <w:color w:val="3A3A3A"/>
                <w:sz w:val="19"/>
                <w:szCs w:val="19"/>
              </w:rPr>
              <w:t xml:space="preserve">Where am I headed, and what do I need to get there?</w:t>
            </w:r>
          </w:p>
        </w:tc>
      </w:tr>
      <w:tr>
        <w:tc>
          <w:tcPr>
            <w:tcW w:type="dxa" w:w="400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bCs/>
                <w:color w:val="1A1A1A"/>
                <w:sz w:val="19"/>
                <w:szCs w:val="19"/>
              </w:rPr>
              <w:t xml:space="preserve">Culture &amp; Community</w:t>
            </w:r>
          </w:p>
        </w:tc>
        <w:tc>
          <w:tcPr>
            <w:tcW w:type="dxa" w:w="536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val="false"/>
                <w:bCs w:val="false"/>
                <w:color w:val="3A3A3A"/>
                <w:sz w:val="19"/>
                <w:szCs w:val="19"/>
              </w:rPr>
              <w:t xml:space="preserve">What kind of department are we building?</w:t>
            </w:r>
          </w:p>
        </w:tc>
      </w:tr>
      <w:tr>
        <w:tc>
          <w:tcPr>
            <w:tcW w:type="dxa" w:w="400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bCs/>
                <w:color w:val="1A1A1A"/>
                <w:sz w:val="19"/>
                <w:szCs w:val="19"/>
              </w:rPr>
              <w:t xml:space="preserve">Open</w:t>
            </w:r>
          </w:p>
        </w:tc>
        <w:tc>
          <w:tcPr>
            <w:tcW w:type="dxa" w:w="5360"/>
            <w:tcBorders>
              <w:top w:val="none" w:color="FFFFFF" w:sz="0"/>
              <w:left w:val="none" w:color="FFFFFF" w:sz="0"/>
              <w:bottom w:val="single" w:color="CCCCCC" w:sz="2"/>
              <w:right w:val="none" w:color="FFFFFF" w:sz="0"/>
            </w:tcBorders>
            <w:tcMar>
              <w:top w:type="dxa" w:w="70"/>
              <w:left w:type="dxa" w:w="100"/>
              <w:bottom w:type="dxa" w:w="70"/>
              <w:right w:type="dxa" w:w="100"/>
            </w:tcMar>
          </w:tcPr>
          <w:p>
            <w:r>
              <w:rPr>
                <w:rFonts w:ascii="Calibri" w:cs="Calibri" w:eastAsia="Calibri" w:hAnsi="Calibri"/>
                <w:b w:val="false"/>
                <w:bCs w:val="false"/>
                <w:color w:val="3A3A3A"/>
                <w:sz w:val="19"/>
                <w:szCs w:val="19"/>
              </w:rPr>
              <w:t xml:space="preserve">Whatever the group picks that day</w:t>
            </w:r>
          </w:p>
        </w:tc>
      </w:tr>
    </w:tbl>
    <w:p>
      <w:pPr>
        <w:spacing w:after="0" w:before="140"/>
      </w:pPr>
      <w:r>
        <w:t xml:space="preserve"/>
      </w:r>
    </w:p>
    <w:p>
      <w:pPr>
        <w:spacing w:after="120" w:before="300"/>
      </w:pPr>
      <w:r>
        <w:rPr>
          <w:rFonts w:ascii="Calibri" w:cs="Calibri" w:eastAsia="Calibri" w:hAnsi="Calibri"/>
          <w:b/>
          <w:bCs/>
          <w:color w:val="1A1A1A"/>
          <w:spacing w:val="10"/>
          <w:sz w:val="24"/>
          <w:szCs w:val="24"/>
        </w:rPr>
        <w:t xml:space="preserve">LOGISTICS</w:t>
      </w:r>
    </w:p>
    <w:p>
      <w:pPr>
        <w:spacing w:after="0" w:before="60"/>
      </w:pPr>
      <w:r>
        <w:t xml:space="preserve"/>
      </w:r>
    </w:p>
    <w:p>
      <w:pPr>
        <w:spacing w:after="90" w:before="200"/>
      </w:pPr>
      <w:r>
        <w:rPr>
          <w:rFonts w:ascii="Calibri" w:cs="Calibri" w:eastAsia="Calibri" w:hAnsi="Calibri"/>
          <w:b/>
          <w:bCs/>
          <w:color w:val="1A1A1A"/>
          <w:sz w:val="22"/>
          <w:szCs w:val="22"/>
        </w:rPr>
        <w:t xml:space="preserve">Location</w:t>
      </w:r>
    </w:p>
    <w:p>
      <w:pPr>
        <w:spacing w:after="60" w:before="60"/>
        <w:jc w:val="both"/>
      </w:pPr>
      <w:r>
        <w:rPr>
          <w:rFonts w:ascii="Calibri" w:cs="Calibri" w:eastAsia="Calibri" w:hAnsi="Calibri"/>
          <w:color w:val="3A3A3A"/>
          <w:sz w:val="22"/>
          <w:szCs w:val="22"/>
        </w:rPr>
        <w:t xml:space="preserve">Off-site, no exceptions. The station carries rank and operational weight that works against the kind of honesty this needs. Library room, coffee shop, brewery, park — anywhere that feels neutral and human.</w:t>
      </w:r>
    </w:p>
    <w:p>
      <w:pPr>
        <w:spacing w:after="0" w:before="80"/>
      </w:pPr>
      <w:r>
        <w:t xml:space="preserve"/>
      </w:r>
    </w:p>
    <w:p>
      <w:pPr>
        <w:spacing w:after="90" w:before="200"/>
      </w:pPr>
      <w:r>
        <w:rPr>
          <w:rFonts w:ascii="Calibri" w:cs="Calibri" w:eastAsia="Calibri" w:hAnsi="Calibri"/>
          <w:b/>
          <w:bCs/>
          <w:color w:val="1A1A1A"/>
          <w:sz w:val="22"/>
          <w:szCs w:val="22"/>
        </w:rPr>
        <w:t xml:space="preserve">Timing</w:t>
      </w:r>
    </w:p>
    <w:p>
      <w:pPr>
        <w:spacing w:after="60" w:before="60"/>
        <w:jc w:val="both"/>
      </w:pPr>
      <w:r>
        <w:rPr>
          <w:rFonts w:ascii="Calibri" w:cs="Calibri" w:eastAsia="Calibri" w:hAnsi="Calibri"/>
          <w:color w:val="3A3A3A"/>
          <w:sz w:val="22"/>
          <w:szCs w:val="22"/>
        </w:rPr>
        <w:t xml:space="preserve">Catch people coming off a 48 while they're already in town — that's the easiest sell. Early morning tends to beat evening for people with family stuff going on.</w:t>
      </w:r>
    </w:p>
    <w:p>
      <w:pPr>
        <w:spacing w:after="0" w:before="80"/>
      </w:pPr>
      <w:r>
        <w:t xml:space="preserve"/>
      </w:r>
    </w:p>
    <w:p>
      <w:pPr>
        <w:spacing w:after="90" w:before="200"/>
      </w:pPr>
      <w:r>
        <w:rPr>
          <w:rFonts w:ascii="Calibri" w:cs="Calibri" w:eastAsia="Calibri" w:hAnsi="Calibri"/>
          <w:b/>
          <w:bCs/>
          <w:color w:val="1A1A1A"/>
          <w:sz w:val="22"/>
          <w:szCs w:val="22"/>
        </w:rPr>
        <w:t xml:space="preserve">Size</w:t>
      </w:r>
    </w:p>
    <w:p>
      <w:pPr>
        <w:spacing w:after="60" w:before="60"/>
        <w:jc w:val="both"/>
      </w:pPr>
      <w:r>
        <w:rPr>
          <w:rFonts w:ascii="Calibri" w:cs="Calibri" w:eastAsia="Calibri" w:hAnsi="Calibri"/>
          <w:color w:val="3A3A3A"/>
          <w:sz w:val="22"/>
          <w:szCs w:val="22"/>
        </w:rPr>
        <w:t xml:space="preserve">Six to ten is the sweet spot. Small enough for real conversation, big enough for different perspectives. More than ten interested — run two sessions instead of stretching one.</w:t>
      </w:r>
    </w:p>
    <w:p>
      <w:pPr>
        <w:spacing w:after="0" w:before="80"/>
      </w:pPr>
      <w:r>
        <w:t xml:space="preserve"/>
      </w:r>
    </w:p>
    <w:p>
      <w:pPr>
        <w:spacing w:after="90" w:before="200"/>
      </w:pPr>
      <w:r>
        <w:rPr>
          <w:rFonts w:ascii="Calibri" w:cs="Calibri" w:eastAsia="Calibri" w:hAnsi="Calibri"/>
          <w:b/>
          <w:bCs/>
          <w:color w:val="1A1A1A"/>
          <w:sz w:val="22"/>
          <w:szCs w:val="22"/>
        </w:rPr>
        <w:t xml:space="preserve">Documentation</w:t>
      </w:r>
    </w:p>
    <w:p>
      <w:pPr>
        <w:spacing w:after="60" w:before="60"/>
        <w:jc w:val="both"/>
      </w:pPr>
      <w:r>
        <w:rPr>
          <w:rFonts w:ascii="Calibri" w:cs="Calibri" w:eastAsia="Calibri" w:hAnsi="Calibri"/>
          <w:color w:val="3A3A3A"/>
          <w:sz w:val="22"/>
          <w:szCs w:val="22"/>
        </w:rPr>
        <w:t xml:space="preserve">AI transcription or a designated note-taker — capture themes, not quotes or names. After each session, sort what came up into three buckets: what people need, what they've got to offer, what gets them to keep showing up.</w:t>
      </w:r>
    </w:p>
    <w:p>
      <w:pPr>
        <w:spacing w:after="0" w:before="140"/>
      </w:pPr>
      <w:r>
        <w:t xml:space="preserve"/>
      </w:r>
    </w:p>
    <w:p>
      <w:pPr>
        <w:spacing w:after="120" w:before="300"/>
      </w:pPr>
      <w:r>
        <w:rPr>
          <w:rFonts w:ascii="Calibri" w:cs="Calibri" w:eastAsia="Calibri" w:hAnsi="Calibri"/>
          <w:b/>
          <w:bCs/>
          <w:color w:val="1A1A1A"/>
          <w:spacing w:val="10"/>
          <w:sz w:val="24"/>
          <w:szCs w:val="24"/>
        </w:rPr>
        <w:t xml:space="preserve">BEFORE YOU RUN ONE</w:t>
      </w:r>
    </w:p>
    <w:p>
      <w:pPr>
        <w:spacing w:after="0" w:before="60"/>
      </w:pPr>
      <w:r>
        <w:t xml:space="preserve"/>
      </w:r>
    </w:p>
    <w:p>
      <w:pPr>
        <w:pStyle w:val="ListParagraph"/>
        <w:numPr>
          <w:ilvl w:val="0"/>
          <w:numId w:val="3"/>
        </w:numPr>
        <w:spacing w:after="40" w:before="40"/>
      </w:pPr>
      <w:r>
        <w:rPr>
          <w:rFonts w:ascii="Calibri" w:cs="Calibri" w:eastAsia="Calibri" w:hAnsi="Calibri"/>
          <w:color w:val="3A3A3A"/>
          <w:sz w:val="21"/>
          <w:szCs w:val="21"/>
        </w:rPr>
        <w:t xml:space="preserve">Know your opening story — real, not rehearsed</w:t>
      </w:r>
    </w:p>
    <w:p>
      <w:pPr>
        <w:pStyle w:val="ListParagraph"/>
        <w:numPr>
          <w:ilvl w:val="0"/>
          <w:numId w:val="3"/>
        </w:numPr>
        <w:spacing w:after="40" w:before="40"/>
      </w:pPr>
      <w:r>
        <w:rPr>
          <w:rFonts w:ascii="Calibri" w:cs="Calibri" w:eastAsia="Calibri" w:hAnsi="Calibri"/>
          <w:color w:val="3A3A3A"/>
          <w:sz w:val="21"/>
          <w:szCs w:val="21"/>
        </w:rPr>
        <w:t xml:space="preserve">Anchor question sent out in advance</w:t>
      </w:r>
    </w:p>
    <w:p>
      <w:pPr>
        <w:pStyle w:val="ListParagraph"/>
        <w:numPr>
          <w:ilvl w:val="0"/>
          <w:numId w:val="3"/>
        </w:numPr>
        <w:spacing w:after="40" w:before="40"/>
      </w:pPr>
      <w:r>
        <w:rPr>
          <w:rFonts w:ascii="Calibri" w:cs="Calibri" w:eastAsia="Calibri" w:hAnsi="Calibri"/>
          <w:color w:val="3A3A3A"/>
          <w:sz w:val="21"/>
          <w:szCs w:val="21"/>
        </w:rPr>
        <w:t xml:space="preserve">Reflection cards printed — one per person</w:t>
      </w:r>
    </w:p>
    <w:p>
      <w:pPr>
        <w:pStyle w:val="ListParagraph"/>
        <w:numPr>
          <w:ilvl w:val="0"/>
          <w:numId w:val="3"/>
        </w:numPr>
        <w:spacing w:after="40" w:before="40"/>
      </w:pPr>
      <w:r>
        <w:rPr>
          <w:rFonts w:ascii="Calibri" w:cs="Calibri" w:eastAsia="Calibri" w:hAnsi="Calibri"/>
          <w:color w:val="3A3A3A"/>
          <w:sz w:val="21"/>
          <w:szCs w:val="21"/>
        </w:rPr>
        <w:t xml:space="preserve">Room set up so there's no head of the table</w:t>
      </w:r>
    </w:p>
    <w:p>
      <w:pPr>
        <w:pStyle w:val="ListParagraph"/>
        <w:numPr>
          <w:ilvl w:val="0"/>
          <w:numId w:val="3"/>
        </w:numPr>
        <w:spacing w:after="40" w:before="40"/>
      </w:pPr>
      <w:r>
        <w:rPr>
          <w:rFonts w:ascii="Calibri" w:cs="Calibri" w:eastAsia="Calibri" w:hAnsi="Calibri"/>
          <w:color w:val="3A3A3A"/>
          <w:sz w:val="21"/>
          <w:szCs w:val="21"/>
        </w:rPr>
        <w:t xml:space="preserve">Transcription tool ready, if using one</w:t>
      </w:r>
    </w:p>
    <w:p>
      <w:pPr>
        <w:pStyle w:val="ListParagraph"/>
        <w:numPr>
          <w:ilvl w:val="0"/>
          <w:numId w:val="3"/>
        </w:numPr>
        <w:spacing w:after="40" w:before="40"/>
      </w:pPr>
      <w:r>
        <w:rPr>
          <w:rFonts w:ascii="Calibri" w:cs="Calibri" w:eastAsia="Calibri" w:hAnsi="Calibri"/>
          <w:color w:val="3A3A3A"/>
          <w:sz w:val="21"/>
          <w:szCs w:val="21"/>
        </w:rPr>
        <w:t xml:space="preserve">The three open-conversation questions, memorized</w:t>
      </w:r>
    </w:p>
    <w:p>
      <w:pPr>
        <w:spacing w:after="0" w:before="140"/>
      </w:pPr>
      <w:r>
        <w:t xml:space="preserve"/>
      </w:r>
    </w:p>
    <w:p>
      <w:pPr>
        <w:spacing w:after="120" w:before="300"/>
      </w:pPr>
      <w:r>
        <w:rPr>
          <w:rFonts w:ascii="Calibri" w:cs="Calibri" w:eastAsia="Calibri" w:hAnsi="Calibri"/>
          <w:b/>
          <w:bCs/>
          <w:color w:val="1A1A1A"/>
          <w:spacing w:val="10"/>
          <w:sz w:val="24"/>
          <w:szCs w:val="24"/>
        </w:rPr>
        <w:t xml:space="preserve">IF IT GOES QUIET OR SIDEWAYS</w:t>
      </w:r>
    </w:p>
    <w:p>
      <w:pPr>
        <w:spacing w:after="0" w:before="60"/>
      </w:pPr>
      <w:r>
        <w:t xml:space="preserve"/>
      </w:r>
    </w:p>
    <w:p>
      <w:pPr>
        <w:pStyle w:val="ListParagraph"/>
        <w:numPr>
          <w:ilvl w:val="0"/>
          <w:numId w:val="2"/>
        </w:numPr>
        <w:spacing w:after="50" w:before="50"/>
      </w:pPr>
      <w:r>
        <w:rPr>
          <w:rFonts w:ascii="Calibri" w:cs="Calibri" w:eastAsia="Calibri" w:hAnsi="Calibri"/>
          <w:color w:val="3A3A3A"/>
          <w:sz w:val="22"/>
          <w:szCs w:val="22"/>
        </w:rPr>
        <w:t xml:space="preserve">Room goes quiet — don't rush to fill it. Count to five. Reflect back what's already been said.</w:t>
      </w:r>
    </w:p>
    <w:p>
      <w:pPr>
        <w:pStyle w:val="ListParagraph"/>
        <w:numPr>
          <w:ilvl w:val="0"/>
          <w:numId w:val="2"/>
        </w:numPr>
        <w:spacing w:after="50" w:before="50"/>
      </w:pPr>
      <w:r>
        <w:rPr>
          <w:rFonts w:ascii="Calibri" w:cs="Calibri" w:eastAsia="Calibri" w:hAnsi="Calibri"/>
          <w:color w:val="3A3A3A"/>
          <w:sz w:val="22"/>
          <w:szCs w:val="22"/>
        </w:rPr>
        <w:t xml:space="preserve">Turns into a complaint session — ask what would need to be true for that to change.</w:t>
      </w:r>
    </w:p>
    <w:p>
      <w:pPr>
        <w:pStyle w:val="ListParagraph"/>
        <w:numPr>
          <w:ilvl w:val="0"/>
          <w:numId w:val="2"/>
        </w:numPr>
        <w:spacing w:after="50" w:before="50"/>
      </w:pPr>
      <w:r>
        <w:rPr>
          <w:rFonts w:ascii="Calibri" w:cs="Calibri" w:eastAsia="Calibri" w:hAnsi="Calibri"/>
          <w:color w:val="3A3A3A"/>
          <w:sz w:val="22"/>
          <w:szCs w:val="22"/>
        </w:rPr>
        <w:t xml:space="preserve">Rank starts running the room — name it gently. Make sure everyone's getting heard.</w:t>
      </w:r>
    </w:p>
    <w:p>
      <w:pPr>
        <w:pStyle w:val="ListParagraph"/>
        <w:numPr>
          <w:ilvl w:val="0"/>
          <w:numId w:val="2"/>
        </w:numPr>
        <w:spacing w:after="50" w:before="50"/>
      </w:pPr>
      <w:r>
        <w:rPr>
          <w:rFonts w:ascii="Calibri" w:cs="Calibri" w:eastAsia="Calibri" w:hAnsi="Calibri"/>
          <w:color w:val="3A3A3A"/>
          <w:sz w:val="22"/>
          <w:szCs w:val="22"/>
        </w:rPr>
        <w:t xml:space="preserve">Somebody gets uncomfortable — normalize it. This stuff's supposed to feel a little uncomfortable.</w:t>
      </w:r>
    </w:p>
    <w:p>
      <w:pPr>
        <w:pStyle w:val="ListParagraph"/>
        <w:numPr>
          <w:ilvl w:val="0"/>
          <w:numId w:val="2"/>
        </w:numPr>
        <w:spacing w:after="50" w:before="50"/>
      </w:pPr>
      <w:r>
        <w:rPr>
          <w:rFonts w:ascii="Calibri" w:cs="Calibri" w:eastAsia="Calibri" w:hAnsi="Calibri"/>
          <w:color w:val="3A3A3A"/>
          <w:sz w:val="22"/>
          <w:szCs w:val="22"/>
        </w:rPr>
        <w:t xml:space="preserve">Energy dies — go early to the reflection cards and close with intention.</w:t>
      </w:r>
    </w:p>
    <w:p>
      <w:pPr>
        <w:spacing w:after="0" w:before="140"/>
      </w:pPr>
      <w:r>
        <w:t xml:space="preserve"/>
      </w:r>
    </w:p>
    <w:p>
      <w:pPr>
        <w:pBdr>
          <w:bottom w:val="single" w:color="AAAAAA" w:sz="4"/>
        </w:pBdr>
        <w:spacing w:after="100" w:before="100"/>
      </w:pPr>
      <w:r>
        <w:t xml:space="preserve"/>
      </w:r>
    </w:p>
    <w:p>
      <w:pPr>
        <w:spacing w:after="0" w:before="60"/>
      </w:pPr>
      <w:r>
        <w:t xml:space="preserve"/>
      </w:r>
    </w:p>
    <w:p>
      <w:pPr>
        <w:spacing w:after="30"/>
        <w:jc w:val="center"/>
      </w:pPr>
      <w:r>
        <w:rPr>
          <w:rFonts w:ascii="Calibri" w:cs="Calibri" w:eastAsia="Calibri" w:hAnsi="Calibri"/>
          <w:i/>
          <w:iCs/>
          <w:color w:val="3A3A3A"/>
          <w:sz w:val="21"/>
          <w:szCs w:val="21"/>
        </w:rPr>
        <w:t xml:space="preserve">This belongs to whoever picks it up.</w:t>
      </w:r>
    </w:p>
    <w:p>
      <w:pPr>
        <w:jc w:val="center"/>
      </w:pPr>
      <w:r>
        <w:rPr>
          <w:rFonts w:ascii="Calibri" w:cs="Calibri" w:eastAsia="Calibri" w:hAnsi="Calibri"/>
          <w:i/>
          <w:iCs/>
          <w:color w:val="3A3A3A"/>
          <w:sz w:val="21"/>
          <w:szCs w:val="21"/>
        </w:rPr>
        <w:t xml:space="preserve">Adapt it. Improve it. Leave it better than you found it.</w:t>
      </w:r>
    </w:p>
    <w:sectPr>
      <w:footerReference w:type="default" r:id="rId7"/>
      <w:pgSz w:w="12240" w:h="15840" w:orient="portrait"/>
      <w:pgMar w:top="108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999999"/>
        <w:sz w:val="18"/>
        <w:szCs w:val="18"/>
      </w:rPr>
      <w:t xml:space="preserve">Page </w:t>
    </w:r>
    <w:r>
      <w:rPr>
        <w:rFonts w:ascii="Calibri" w:cs="Calibri" w:eastAsia="Calibri" w:hAnsi="Calibri"/>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640" w:hanging="320"/>
      </w:pPr>
    </w:lvl>
  </w:abstractNum>
  <w:abstractNum w:abstractNumId="3" w15:restartNumberingAfterBreak="0">
    <w:multiLevelType w:val="hybridMultilevel"/>
    <w:lvl w:ilvl="0" w15:tentative="1">
      <w:start w:val="1"/>
      <w:numFmt w:val="bullet"/>
      <w:lvlText w:val="☐"/>
      <w:lvlJc w:val="left"/>
      <w:pPr>
        <w:ind w:left="500" w:hanging="32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2026-07-20T22:14:59.517Z</dcterms:created>
  <dcterms:modified xsi:type="dcterms:W3CDTF">2026-07-20T22:14:59.529Z</dcterms:modified>
</cp:coreProperties>
</file>

<file path=docProps/custom.xml><?xml version="1.0" encoding="utf-8"?>
<Properties xmlns="http://schemas.openxmlformats.org/officeDocument/2006/custom-properties" xmlns:vt="http://schemas.openxmlformats.org/officeDocument/2006/docPropsVTypes"/>
</file>